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DA" w:rsidRPr="00E51C79" w:rsidRDefault="00F952DA" w:rsidP="00517773">
      <w:pPr>
        <w:spacing w:after="0"/>
        <w:rPr>
          <w:lang w:val="ru-RU"/>
        </w:rPr>
      </w:pPr>
      <w:bookmarkStart w:id="0" w:name="block-416793"/>
    </w:p>
    <w:p w:rsidR="00F952DA" w:rsidRPr="00E51C79" w:rsidRDefault="00256756">
      <w:pPr>
        <w:rPr>
          <w:lang w:val="ru-RU"/>
        </w:rPr>
        <w:sectPr w:rsidR="00F952DA" w:rsidRPr="00E51C7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5196"/>
            <wp:effectExtent l="19050" t="0" r="3175" b="0"/>
            <wp:docPr id="1" name="Рисунок 1" descr="C:\Users\1\Desktop\квп тит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п тит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DA" w:rsidRPr="00E51C79" w:rsidRDefault="00E51C79">
      <w:pPr>
        <w:spacing w:after="0"/>
        <w:ind w:firstLine="600"/>
        <w:rPr>
          <w:lang w:val="ru-RU"/>
        </w:rPr>
      </w:pPr>
      <w:bookmarkStart w:id="1" w:name="block-416790"/>
      <w:bookmarkEnd w:id="0"/>
      <w:r w:rsidRPr="00E51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E51C7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51C79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F952DA" w:rsidRPr="00E51C79" w:rsidRDefault="00E51C79">
      <w:pPr>
        <w:spacing w:after="0"/>
        <w:ind w:left="12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952DA" w:rsidRPr="00E51C79" w:rsidRDefault="00F952DA">
      <w:pPr>
        <w:spacing w:after="0"/>
        <w:ind w:left="120"/>
        <w:rPr>
          <w:lang w:val="ru-RU"/>
        </w:rPr>
      </w:pP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952DA" w:rsidRPr="00E51C79" w:rsidRDefault="00E51C79">
      <w:pPr>
        <w:spacing w:after="0"/>
        <w:ind w:left="12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952DA" w:rsidRPr="00E51C79" w:rsidRDefault="00F952DA">
      <w:pPr>
        <w:spacing w:after="0"/>
        <w:ind w:left="120"/>
        <w:rPr>
          <w:lang w:val="ru-RU"/>
        </w:rPr>
      </w:pP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51C79">
        <w:rPr>
          <w:rFonts w:ascii="Times New Roman" w:hAnsi="Times New Roman"/>
          <w:color w:val="000000"/>
          <w:spacing w:val="-1"/>
          <w:sz w:val="28"/>
          <w:lang w:val="ru-RU"/>
        </w:rPr>
        <w:t>обучающихся</w:t>
      </w:r>
      <w:proofErr w:type="gramEnd"/>
      <w:r w:rsidRPr="00E51C79">
        <w:rPr>
          <w:rFonts w:ascii="Times New Roman" w:hAnsi="Times New Roman"/>
          <w:color w:val="000000"/>
          <w:spacing w:val="-1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F952DA" w:rsidRPr="00E51C79" w:rsidRDefault="00E51C79">
      <w:pPr>
        <w:spacing w:after="0"/>
        <w:ind w:left="12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952DA" w:rsidRPr="00E51C79" w:rsidRDefault="00F952DA">
      <w:pPr>
        <w:spacing w:after="0"/>
        <w:ind w:left="120"/>
        <w:rPr>
          <w:lang w:val="ru-RU"/>
        </w:rPr>
      </w:pP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часов, отводимого на изучение предмета «История» учебным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планом: на базовом уровне в 11 классе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2 учебных часа в неделю при 34 учебных неделях.</w:t>
      </w:r>
    </w:p>
    <w:p w:rsidR="00F952DA" w:rsidRPr="00E51C79" w:rsidRDefault="00F952DA">
      <w:pPr>
        <w:rPr>
          <w:lang w:val="ru-RU"/>
        </w:rPr>
        <w:sectPr w:rsidR="00F952DA" w:rsidRPr="00E51C79">
          <w:pgSz w:w="11906" w:h="16383"/>
          <w:pgMar w:top="1134" w:right="850" w:bottom="1134" w:left="1701" w:header="720" w:footer="720" w:gutter="0"/>
          <w:cols w:space="720"/>
        </w:sectPr>
      </w:pPr>
    </w:p>
    <w:p w:rsidR="00F952DA" w:rsidRPr="00E51C79" w:rsidRDefault="00E51C79">
      <w:pPr>
        <w:spacing w:after="0"/>
        <w:ind w:left="120"/>
        <w:jc w:val="both"/>
        <w:rPr>
          <w:lang w:val="ru-RU"/>
        </w:rPr>
      </w:pPr>
      <w:bookmarkStart w:id="2" w:name="block-416789"/>
      <w:bookmarkEnd w:id="1"/>
      <w:r w:rsidRPr="00E51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F952DA" w:rsidRPr="00E51C79" w:rsidRDefault="00F952DA">
      <w:pPr>
        <w:spacing w:after="0"/>
        <w:ind w:left="120"/>
        <w:jc w:val="both"/>
        <w:rPr>
          <w:lang w:val="ru-RU"/>
        </w:rPr>
      </w:pPr>
    </w:p>
    <w:p w:rsidR="00F952DA" w:rsidRPr="00E51C79" w:rsidRDefault="00E51C79">
      <w:pPr>
        <w:spacing w:after="0"/>
        <w:ind w:left="12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52DA" w:rsidRPr="00E51C79" w:rsidRDefault="00F952DA">
      <w:pPr>
        <w:spacing w:after="0"/>
        <w:ind w:left="120"/>
        <w:jc w:val="both"/>
        <w:rPr>
          <w:lang w:val="ru-RU"/>
        </w:rPr>
      </w:pP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школьниками учебных программ по общеобразовательным предметам.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требованиями к важнейшим </w:t>
      </w:r>
      <w:r w:rsidRPr="00E51C79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относятся следующие убеждения и качества: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>духовно-нравственного воспитания: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proofErr w:type="gramEnd"/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E51C79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мотивация и способность к образованию и самообразованию на протяжении всей жизни;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понимании ценности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>эмпатии</w:t>
      </w:r>
      <w:proofErr w:type="spellEnd"/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left="12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52DA" w:rsidRPr="00E51C79" w:rsidRDefault="00F952DA">
      <w:pPr>
        <w:spacing w:after="0"/>
        <w:ind w:left="120"/>
        <w:jc w:val="both"/>
        <w:rPr>
          <w:lang w:val="ru-RU"/>
        </w:rPr>
      </w:pP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spellStart"/>
      <w:r w:rsidRPr="00E51C79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</w:t>
      </w:r>
      <w:proofErr w:type="spellEnd"/>
      <w:r w:rsidRPr="00E51C79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 результаты</w:t>
      </w:r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сфере универсальных учебных познавательных действий</w:t>
      </w:r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E51C79"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объяснять сферу применения и значение проведенного учебного исследования в современном общественном контексте;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общения и конструктивного взаимодействия, в том числе межкультурного, в школе и социальном окружении;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E51C79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оценивать полученные результаты и свой вклад в общую работу.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E51C79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F952DA" w:rsidRPr="00E51C79" w:rsidRDefault="00E51C79">
      <w:pPr>
        <w:spacing w:after="0"/>
        <w:ind w:left="12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52DA" w:rsidRPr="00E51C79" w:rsidRDefault="00F952DA">
      <w:pPr>
        <w:spacing w:after="0"/>
        <w:ind w:left="120"/>
        <w:jc w:val="both"/>
        <w:rPr>
          <w:lang w:val="ru-RU"/>
        </w:rPr>
      </w:pP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 xml:space="preserve">При этом необходимо учитывать, что достижение предметных результатов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2) Знание имен героев</w:t>
      </w: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lastRenderedPageBreak/>
        <w:t>соответствии с заданными критериями; сравнивать изученные исторические события, явления, процессы.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E51C79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Россия накануне</w:t>
      </w: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E51C79">
        <w:rPr>
          <w:rFonts w:ascii="Times New Roman" w:hAnsi="Times New Roman"/>
          <w:i/>
          <w:color w:val="000000"/>
          <w:sz w:val="28"/>
          <w:lang w:val="ru-RU"/>
        </w:rPr>
        <w:t>ервой мировой войны. Ход военных действий. Власть, общество, экономика, культура. Предпосылки революции.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i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E51C79">
        <w:rPr>
          <w:rFonts w:ascii="Times New Roman" w:hAnsi="Times New Roman"/>
          <w:i/>
          <w:color w:val="000000"/>
          <w:sz w:val="28"/>
          <w:lang w:val="ru-RU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spellStart"/>
      <w:r w:rsidRPr="00E51C79">
        <w:rPr>
          <w:rFonts w:ascii="Times New Roman" w:hAnsi="Times New Roman"/>
          <w:i/>
          <w:color w:val="000000"/>
          <w:sz w:val="28"/>
          <w:lang w:val="ru-RU"/>
        </w:rPr>
        <w:t>Межвоенный</w:t>
      </w:r>
      <w:proofErr w:type="spellEnd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lastRenderedPageBreak/>
        <w:t>Вторая мировая война: причины, участники, основные сражения, итоги.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E51C79">
        <w:rPr>
          <w:rFonts w:ascii="Times New Roman" w:hAnsi="Times New Roman"/>
          <w:i/>
          <w:color w:val="000000"/>
          <w:sz w:val="28"/>
          <w:lang w:val="ru-RU"/>
        </w:rPr>
        <w:t>деглобализация</w:t>
      </w:r>
      <w:proofErr w:type="spellEnd"/>
      <w:r w:rsidRPr="00E51C79">
        <w:rPr>
          <w:rFonts w:ascii="Times New Roman" w:hAnsi="Times New Roman"/>
          <w:i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:rsidR="00F952DA" w:rsidRPr="00E51C79" w:rsidRDefault="00F952DA">
      <w:pPr>
        <w:spacing w:after="0"/>
        <w:ind w:left="120"/>
        <w:rPr>
          <w:lang w:val="ru-RU"/>
        </w:rPr>
      </w:pPr>
    </w:p>
    <w:p w:rsidR="00F952DA" w:rsidRPr="00E51C79" w:rsidRDefault="00E51C79">
      <w:pPr>
        <w:spacing w:after="0"/>
        <w:ind w:left="12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952DA" w:rsidRPr="00E51C79" w:rsidRDefault="00F952DA">
      <w:pPr>
        <w:spacing w:after="0"/>
        <w:ind w:left="120"/>
        <w:jc w:val="both"/>
        <w:rPr>
          <w:lang w:val="ru-RU"/>
        </w:rPr>
      </w:pP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F952DA" w:rsidRPr="00E51C79" w:rsidRDefault="00E51C7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F952DA" w:rsidRPr="00E51C79" w:rsidRDefault="00E51C7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F952DA" w:rsidRPr="00E51C79" w:rsidRDefault="00E51C7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знания по истории России,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1945–2022 гг., события, процессы, в которых они участвовали;</w:t>
      </w:r>
    </w:p>
    <w:p w:rsidR="00F952DA" w:rsidRPr="00E51C79" w:rsidRDefault="00E51C79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F952DA" w:rsidRPr="00E51C79" w:rsidRDefault="00E51C79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F952DA" w:rsidRPr="00E51C79" w:rsidRDefault="00E51C79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952DA" w:rsidRPr="00E51C79" w:rsidRDefault="00E51C79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F952DA" w:rsidRPr="00E51C79" w:rsidRDefault="00E51C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F952DA" w:rsidRPr="00E51C79" w:rsidRDefault="00E51C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F952DA" w:rsidRPr="00E51C79" w:rsidRDefault="00E51C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F952DA" w:rsidRPr="00E51C79" w:rsidRDefault="00E51C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F952DA" w:rsidRPr="00E51C79" w:rsidRDefault="00E51C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F952DA" w:rsidRPr="00E51C79" w:rsidRDefault="00E51C7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F952DA" w:rsidRPr="00E51C79" w:rsidRDefault="00E51C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F952DA" w:rsidRPr="00E51C79" w:rsidRDefault="00E51C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952DA" w:rsidRPr="00E51C79" w:rsidRDefault="00E51C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1945–2022 гг.;</w:t>
      </w:r>
    </w:p>
    <w:p w:rsidR="00F952DA" w:rsidRPr="00E51C79" w:rsidRDefault="00E51C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F952DA" w:rsidRPr="00E51C79" w:rsidRDefault="00E51C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F952DA" w:rsidRPr="00E51C79" w:rsidRDefault="00E51C7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E51C79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E51C79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F952DA" w:rsidRPr="00E51C79" w:rsidRDefault="00E51C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F952DA" w:rsidRPr="00E51C79" w:rsidRDefault="00E51C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F952DA" w:rsidRPr="00E51C79" w:rsidRDefault="00E51C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F952DA" w:rsidRPr="00E51C79" w:rsidRDefault="00E51C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1945–2022 гг.;</w:t>
      </w:r>
    </w:p>
    <w:p w:rsidR="00F952DA" w:rsidRPr="00E51C79" w:rsidRDefault="00E51C7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1945–2022 гг.;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F952DA" w:rsidRPr="00E51C79" w:rsidRDefault="00E51C79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952DA" w:rsidRPr="00E51C79" w:rsidRDefault="00E51C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F952DA" w:rsidRPr="00E51C79" w:rsidRDefault="00E51C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F952DA" w:rsidRPr="00E51C79" w:rsidRDefault="00E51C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F952DA" w:rsidRPr="00E51C79" w:rsidRDefault="00E51C7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lastRenderedPageBreak/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1945–2022 гг., с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F952DA" w:rsidRPr="00E51C79" w:rsidRDefault="00E51C7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F952DA" w:rsidRPr="00E51C79" w:rsidRDefault="00E51C79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F952DA" w:rsidRPr="00E51C79" w:rsidRDefault="00E51C79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F952DA" w:rsidRPr="00E51C79" w:rsidRDefault="00E51C79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F952DA" w:rsidRPr="00E51C79" w:rsidRDefault="00E51C7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F952DA" w:rsidRPr="00E51C79" w:rsidRDefault="00E51C7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F952DA" w:rsidRPr="00E51C79" w:rsidRDefault="00E51C7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E51C79">
        <w:rPr>
          <w:rFonts w:ascii="Times New Roman" w:hAnsi="Times New Roman"/>
          <w:color w:val="000000"/>
          <w:spacing w:val="-1"/>
          <w:sz w:val="28"/>
          <w:lang w:val="ru-RU"/>
        </w:rPr>
        <w:t>деглобализация</w:t>
      </w:r>
      <w:proofErr w:type="spellEnd"/>
      <w:r w:rsidRPr="00E51C79">
        <w:rPr>
          <w:rFonts w:ascii="Times New Roman" w:hAnsi="Times New Roman"/>
          <w:color w:val="000000"/>
          <w:spacing w:val="-1"/>
          <w:sz w:val="28"/>
          <w:lang w:val="ru-RU"/>
        </w:rPr>
        <w:t>. Геополитический кризис 2022 г. и его влияние на мировую систему.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952DA" w:rsidRPr="00E51C79" w:rsidRDefault="00E51C7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F952DA" w:rsidRPr="00E51C79" w:rsidRDefault="00E51C7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F952DA" w:rsidRPr="00E51C79" w:rsidRDefault="00E51C7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F952DA" w:rsidRPr="00E51C79" w:rsidRDefault="00E51C7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F952DA" w:rsidRPr="00E51C79" w:rsidRDefault="00F952DA">
      <w:pPr>
        <w:rPr>
          <w:lang w:val="ru-RU"/>
        </w:rPr>
        <w:sectPr w:rsidR="00F952DA" w:rsidRPr="00E51C79">
          <w:pgSz w:w="11906" w:h="16383"/>
          <w:pgMar w:top="1134" w:right="850" w:bottom="1134" w:left="1701" w:header="720" w:footer="720" w:gutter="0"/>
          <w:cols w:space="720"/>
        </w:sectPr>
      </w:pPr>
    </w:p>
    <w:p w:rsidR="00F952DA" w:rsidRPr="00E51C79" w:rsidRDefault="00E51C79">
      <w:pPr>
        <w:spacing w:after="0"/>
        <w:ind w:left="120"/>
        <w:rPr>
          <w:lang w:val="ru-RU"/>
        </w:rPr>
      </w:pPr>
      <w:bookmarkStart w:id="3" w:name="block-416791"/>
      <w:bookmarkEnd w:id="2"/>
      <w:r w:rsidRPr="00E51C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F952DA" w:rsidRPr="00E51C79" w:rsidRDefault="00F952DA" w:rsidP="004011E8">
      <w:pPr>
        <w:spacing w:after="0"/>
        <w:jc w:val="both"/>
        <w:rPr>
          <w:lang w:val="ru-RU"/>
        </w:rPr>
      </w:pPr>
    </w:p>
    <w:p w:rsidR="00F952DA" w:rsidRPr="00E51C79" w:rsidRDefault="00E51C79">
      <w:pPr>
        <w:spacing w:after="0"/>
        <w:ind w:left="12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952DA" w:rsidRPr="00E51C79" w:rsidRDefault="00F952DA">
      <w:pPr>
        <w:spacing w:after="0"/>
        <w:ind w:left="120"/>
        <w:jc w:val="both"/>
        <w:rPr>
          <w:lang w:val="ru-RU"/>
        </w:rPr>
      </w:pPr>
    </w:p>
    <w:p w:rsidR="00F952DA" w:rsidRPr="00E51C79" w:rsidRDefault="00E51C79">
      <w:pPr>
        <w:spacing w:after="0"/>
        <w:ind w:left="12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F952DA">
      <w:pPr>
        <w:spacing w:after="0"/>
        <w:ind w:left="120"/>
        <w:jc w:val="both"/>
        <w:rPr>
          <w:lang w:val="ru-RU"/>
        </w:rPr>
      </w:pP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индустриального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</w:r>
      <w:proofErr w:type="gramStart"/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>повороты политического курса</w:t>
      </w:r>
      <w:proofErr w:type="gramEnd"/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E51C79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союз.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E51C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экономика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, политика, внешнеполитическая ориентация, участие в интеграционных процессах).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E51C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E51C79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E51C79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</w:t>
      </w:r>
      <w:proofErr w:type="gramStart"/>
      <w:r w:rsidRPr="00E51C79">
        <w:rPr>
          <w:rFonts w:ascii="Times New Roman" w:hAnsi="Times New Roman"/>
          <w:color w:val="000000"/>
          <w:spacing w:val="2"/>
          <w:sz w:val="28"/>
          <w:lang w:val="ru-RU"/>
        </w:rPr>
        <w:t>рств в р</w:t>
      </w:r>
      <w:proofErr w:type="gramEnd"/>
      <w:r w:rsidRPr="00E51C79">
        <w:rPr>
          <w:rFonts w:ascii="Times New Roman" w:hAnsi="Times New Roman"/>
          <w:color w:val="000000"/>
          <w:spacing w:val="2"/>
          <w:sz w:val="28"/>
          <w:lang w:val="ru-RU"/>
        </w:rPr>
        <w:t>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 w:rsidRPr="00E51C79">
        <w:rPr>
          <w:rFonts w:ascii="Times New Roman" w:hAnsi="Times New Roman"/>
          <w:color w:val="000000"/>
          <w:spacing w:val="2"/>
          <w:sz w:val="28"/>
          <w:lang w:val="ru-RU"/>
        </w:rPr>
        <w:t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. «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Арабская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весна» и смена политических режимов в начале 2010-х гг. Гражданская война в Сирии.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Этапы провозглашения независимости («год Африки», 1970–1980-е гг.). Выбор путей развития.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(Кубинский) кризис). Создание Движения неприсоединения. Гонка вооружений. Война во Вьетнаме.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>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left="12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F952DA" w:rsidRPr="00E51C79" w:rsidRDefault="00F952DA">
      <w:pPr>
        <w:spacing w:after="0"/>
        <w:ind w:left="120"/>
        <w:jc w:val="both"/>
        <w:rPr>
          <w:lang w:val="ru-RU"/>
        </w:rPr>
      </w:pP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идеологического контроля. Послевоенные репрессии. «Ленинградское дело». Борьба с космополитизмом. «Дело врачей».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решения продовольственной проблемы. Освоение целинных земель.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кризис 1962 г.). СССР и мировая социалистическая система. Распад колониальных систем и борьба за влияние в странах третьего мира.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 С. Хрущева.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Советское государство и общество в середине 1960-х – начале 1980-х гг.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. Экономические реформы 1960-х гг. Новые ориентиры аграрной политики.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Развитие 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E51C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процессы. Цензура и самиздат.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Л. И. Брежнев в оценках современников и историков.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десталинизации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Новое мышление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Демократы первой волны, их лидеры и программы.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Ново-Огаревский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Алма-Атинские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соглашения, создание Содружества Независимых Государств (СНГ).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1945–1991 гг. 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приватизация. Гиперинфляция, рост цен и падение жизненного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pacing w:val="4"/>
          <w:sz w:val="28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E51C79">
        <w:rPr>
          <w:rFonts w:ascii="Times New Roman" w:hAnsi="Times New Roman"/>
          <w:color w:val="000000"/>
          <w:spacing w:val="4"/>
          <w:sz w:val="28"/>
          <w:lang w:val="ru-RU"/>
        </w:rPr>
        <w:t>деиндустриализации</w:t>
      </w:r>
      <w:proofErr w:type="spellEnd"/>
      <w:r w:rsidRPr="00E51C79">
        <w:rPr>
          <w:rFonts w:ascii="Times New Roman" w:hAnsi="Times New Roman"/>
          <w:color w:val="000000"/>
          <w:spacing w:val="4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</w:p>
    <w:p w:rsidR="00F952DA" w:rsidRPr="00E51C79" w:rsidRDefault="00E51C79">
      <w:pPr>
        <w:spacing w:after="0"/>
        <w:ind w:firstLine="60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 В. Путина и связанные с этим ожидания. Начало преодоления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>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(2020).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депопуляции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Паралимпийские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зимние игры в Сочи (2014), успехи российских спортсменов, допинговые скандалы и их последствия для российского спорта.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pacing w:val="2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</w:t>
      </w:r>
      <w:r w:rsidRPr="00E51C79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«Бессмертный полк». Празднование 75-летия Победы в Великой Отечественной войне (2020).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</w:t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ученых и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результатов их научной деятельности. Религиозные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F952DA" w:rsidRPr="00E51C79" w:rsidRDefault="00E51C79">
      <w:pPr>
        <w:spacing w:after="0"/>
        <w:ind w:firstLine="600"/>
        <w:jc w:val="both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F952DA" w:rsidRPr="00E51C79" w:rsidRDefault="00E51C79" w:rsidP="004011E8">
      <w:pPr>
        <w:spacing w:after="0"/>
        <w:ind w:firstLine="600"/>
        <w:jc w:val="both"/>
        <w:rPr>
          <w:lang w:val="ru-RU"/>
        </w:rPr>
        <w:sectPr w:rsidR="00F952DA" w:rsidRPr="00E51C79">
          <w:pgSz w:w="11906" w:h="16383"/>
          <w:pgMar w:top="1134" w:right="850" w:bottom="1134" w:left="1701" w:header="720" w:footer="720" w:gutter="0"/>
          <w:cols w:space="720"/>
        </w:sect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 xml:space="preserve">Итоговое </w:t>
      </w:r>
      <w:proofErr w:type="spellStart"/>
      <w:r w:rsidRPr="00E51C79">
        <w:rPr>
          <w:rFonts w:ascii="Times New Roman" w:hAnsi="Times New Roman"/>
          <w:b/>
          <w:color w:val="000000"/>
          <w:sz w:val="28"/>
          <w:lang w:val="ru-RU"/>
        </w:rPr>
        <w:t>обобщени</w:t>
      </w:r>
      <w:proofErr w:type="spellEnd"/>
    </w:p>
    <w:p w:rsidR="00F952DA" w:rsidRPr="004011E8" w:rsidRDefault="00F952DA" w:rsidP="004011E8">
      <w:pPr>
        <w:spacing w:after="0"/>
        <w:rPr>
          <w:lang w:val="ru-RU"/>
        </w:rPr>
        <w:sectPr w:rsidR="00F952DA" w:rsidRPr="004011E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416787"/>
      <w:bookmarkEnd w:id="3"/>
    </w:p>
    <w:p w:rsidR="00F952DA" w:rsidRDefault="00E51C79" w:rsidP="004011E8">
      <w:pPr>
        <w:spacing w:after="0"/>
      </w:pPr>
      <w:r w:rsidRPr="004011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952D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2DA" w:rsidRDefault="00F95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2DA" w:rsidRDefault="00F952D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2DA" w:rsidRDefault="00F952DA"/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2DA" w:rsidRDefault="00F952DA"/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2DA" w:rsidRDefault="00F952DA"/>
        </w:tc>
      </w:tr>
      <w:tr w:rsidR="00F952DA" w:rsidRPr="00517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Федерация в 1992—2022 </w:t>
            </w:r>
            <w:proofErr w:type="spellStart"/>
            <w:proofErr w:type="gramStart"/>
            <w:r w:rsidRPr="00E5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2DA" w:rsidRDefault="00F952DA"/>
        </w:tc>
      </w:tr>
    </w:tbl>
    <w:p w:rsidR="00F952DA" w:rsidRDefault="00F952DA">
      <w:pPr>
        <w:sectPr w:rsidR="00F95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2DA" w:rsidRDefault="00F952DA">
      <w:pPr>
        <w:sectPr w:rsidR="00F95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2DA" w:rsidRDefault="00E51C79">
      <w:pPr>
        <w:spacing w:after="0"/>
        <w:ind w:left="120"/>
      </w:pPr>
      <w:bookmarkStart w:id="5" w:name="block-4167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2DA" w:rsidRDefault="00F952DA">
      <w:pPr>
        <w:sectPr w:rsidR="00F95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2DA" w:rsidRDefault="00E51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952D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2DA" w:rsidRDefault="00F95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2DA" w:rsidRDefault="00F952D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2DA" w:rsidRDefault="00F95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2DA" w:rsidRDefault="00F95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2DA" w:rsidRDefault="00F952DA"/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«Скандинавская модель" социально-экономического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 международных отношений во второй половине 1940-х — 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последствий войны на 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советскую систему и 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оттепели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1950-х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 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Новое мышление Горбачева. Изменения в 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52DA" w:rsidRDefault="00F952DA">
            <w:pPr>
              <w:spacing w:after="0"/>
              <w:ind w:left="135"/>
            </w:pPr>
          </w:p>
        </w:tc>
      </w:tr>
      <w:tr w:rsidR="00F95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2DA" w:rsidRPr="00E51C79" w:rsidRDefault="00E51C79">
            <w:pPr>
              <w:spacing w:after="0"/>
              <w:ind w:left="135"/>
              <w:rPr>
                <w:lang w:val="ru-RU"/>
              </w:rPr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 w:rsidRPr="00E5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52DA" w:rsidRDefault="00E5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2DA" w:rsidRDefault="00F952DA"/>
        </w:tc>
      </w:tr>
    </w:tbl>
    <w:p w:rsidR="00F952DA" w:rsidRDefault="00F952DA">
      <w:pPr>
        <w:sectPr w:rsidR="00F95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2DA" w:rsidRDefault="00F952DA">
      <w:pPr>
        <w:sectPr w:rsidR="00F95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2DA" w:rsidRDefault="00E51C79">
      <w:pPr>
        <w:spacing w:after="0"/>
        <w:ind w:left="120"/>
      </w:pPr>
      <w:bookmarkStart w:id="6" w:name="block-4167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52DA" w:rsidRDefault="00E51C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52DA" w:rsidRPr="00E51C79" w:rsidRDefault="00E51C79">
      <w:pPr>
        <w:spacing w:after="0" w:line="480" w:lineRule="auto"/>
        <w:ind w:left="120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О.С.,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А.О.; под редакцией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E51C79">
        <w:rPr>
          <w:sz w:val="28"/>
          <w:lang w:val="ru-RU"/>
        </w:rPr>
        <w:br/>
      </w:r>
      <w:bookmarkStart w:id="7" w:name="b71e33a9-cd95-447d-95e3-9301e58b6164"/>
      <w:r w:rsidRPr="00E51C7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7"/>
    </w:p>
    <w:p w:rsidR="00F952DA" w:rsidRPr="00E51C79" w:rsidRDefault="00F952DA">
      <w:pPr>
        <w:spacing w:after="0" w:line="480" w:lineRule="auto"/>
        <w:ind w:left="120"/>
        <w:rPr>
          <w:lang w:val="ru-RU"/>
        </w:rPr>
      </w:pPr>
    </w:p>
    <w:p w:rsidR="00F952DA" w:rsidRPr="00E51C79" w:rsidRDefault="00F952DA">
      <w:pPr>
        <w:spacing w:after="0"/>
        <w:ind w:left="120"/>
        <w:rPr>
          <w:lang w:val="ru-RU"/>
        </w:rPr>
      </w:pPr>
    </w:p>
    <w:p w:rsidR="00F952DA" w:rsidRPr="00E51C79" w:rsidRDefault="00E51C79">
      <w:pPr>
        <w:spacing w:after="0" w:line="480" w:lineRule="auto"/>
        <w:ind w:left="12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52DA" w:rsidRPr="00E51C79" w:rsidRDefault="00E51C79">
      <w:pPr>
        <w:spacing w:after="0" w:line="480" w:lineRule="auto"/>
        <w:ind w:left="120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>История. Реализация ФГОС основного общего образования: методическое пособие для учителя</w:t>
      </w:r>
      <w:r w:rsidRPr="00E51C79">
        <w:rPr>
          <w:sz w:val="28"/>
          <w:lang w:val="ru-RU"/>
        </w:rPr>
        <w:br/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Преподавание социально-гуманитарных дисциплин в школе: ресурсы диалога</w:t>
      </w:r>
      <w:r w:rsidRPr="00E51C79">
        <w:rPr>
          <w:sz w:val="28"/>
          <w:lang w:val="ru-RU"/>
        </w:rPr>
        <w:br/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Авторы: Алексашкина Л.Н.,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Ворожейкина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Амбарцумова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Э.М., Королева Г.Э. / Под ред. Л.Н. </w:t>
      </w:r>
      <w:proofErr w:type="gramStart"/>
      <w:r w:rsidRPr="00E51C79">
        <w:rPr>
          <w:rFonts w:ascii="Times New Roman" w:hAnsi="Times New Roman"/>
          <w:color w:val="000000"/>
          <w:sz w:val="28"/>
          <w:lang w:val="ru-RU"/>
        </w:rPr>
        <w:t>Алексашкиной</w:t>
      </w:r>
      <w:proofErr w:type="gramEnd"/>
      <w:r w:rsidRPr="00E51C79">
        <w:rPr>
          <w:sz w:val="28"/>
          <w:lang w:val="ru-RU"/>
        </w:rPr>
        <w:br/>
      </w:r>
      <w:bookmarkStart w:id="8" w:name="1390dd75-0c85-4006-9a5f-540214c56983"/>
      <w:r w:rsidRPr="00E51C79">
        <w:rPr>
          <w:rFonts w:ascii="Times New Roman" w:hAnsi="Times New Roman"/>
          <w:color w:val="000000"/>
          <w:sz w:val="28"/>
          <w:lang w:val="ru-RU"/>
        </w:rPr>
        <w:t xml:space="preserve"> Авторы: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Шапарина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О.Н.</w:t>
      </w:r>
      <w:bookmarkEnd w:id="8"/>
    </w:p>
    <w:p w:rsidR="00F952DA" w:rsidRPr="00E51C79" w:rsidRDefault="00F952DA">
      <w:pPr>
        <w:spacing w:after="0"/>
        <w:ind w:left="120"/>
        <w:rPr>
          <w:lang w:val="ru-RU"/>
        </w:rPr>
      </w:pPr>
    </w:p>
    <w:p w:rsidR="00F952DA" w:rsidRPr="00E51C79" w:rsidRDefault="00E51C79">
      <w:pPr>
        <w:spacing w:after="0" w:line="480" w:lineRule="auto"/>
        <w:ind w:left="120"/>
        <w:rPr>
          <w:lang w:val="ru-RU"/>
        </w:rPr>
      </w:pPr>
      <w:r w:rsidRPr="00E51C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52DA" w:rsidRPr="00E51C79" w:rsidRDefault="00E51C79">
      <w:pPr>
        <w:spacing w:after="0" w:line="480" w:lineRule="auto"/>
        <w:ind w:left="120"/>
        <w:rPr>
          <w:lang w:val="ru-RU"/>
        </w:rPr>
      </w:pP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istorya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айт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"</w:t>
      </w:r>
      <w:proofErr w:type="spellStart"/>
      <w:r w:rsidRPr="00E51C79">
        <w:rPr>
          <w:rFonts w:ascii="Times New Roman" w:hAnsi="Times New Roman"/>
          <w:color w:val="000000"/>
          <w:sz w:val="28"/>
          <w:lang w:val="ru-RU"/>
        </w:rPr>
        <w:t>История.Ру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".</w:t>
      </w:r>
      <w:proofErr w:type="gramEnd"/>
      <w:r w:rsidRPr="00E51C79">
        <w:rPr>
          <w:sz w:val="28"/>
          <w:lang w:val="ru-RU"/>
        </w:rPr>
        <w:br/>
      </w:r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E51C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</w:t>
      </w:r>
      <w:r w:rsidRPr="00E51C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histrf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/</w:t>
      </w:r>
      <w:r w:rsidRPr="00E51C79">
        <w:rPr>
          <w:sz w:val="28"/>
          <w:lang w:val="ru-RU"/>
        </w:rPr>
        <w:br/>
      </w:r>
      <w:r w:rsidRPr="00E5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51C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E51C7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1C79">
        <w:rPr>
          <w:sz w:val="28"/>
          <w:lang w:val="ru-RU"/>
        </w:rPr>
        <w:br/>
      </w:r>
      <w:bookmarkStart w:id="9" w:name="4446e9c4-0e1b-42a5-bb5d-154dcc153a2c"/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1C7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soiro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E51C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E51C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E51C7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istoriya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E51C7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51C7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9"/>
    </w:p>
    <w:p w:rsidR="00F952DA" w:rsidRPr="00E51C79" w:rsidRDefault="00F952DA">
      <w:pPr>
        <w:rPr>
          <w:lang w:val="ru-RU"/>
        </w:rPr>
        <w:sectPr w:rsidR="00F952DA" w:rsidRPr="00E51C7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51C79" w:rsidRPr="00E51C79" w:rsidRDefault="00E51C79">
      <w:pPr>
        <w:rPr>
          <w:lang w:val="ru-RU"/>
        </w:rPr>
      </w:pPr>
    </w:p>
    <w:sectPr w:rsidR="00E51C79" w:rsidRPr="00E51C79" w:rsidSect="00F952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ADC"/>
    <w:multiLevelType w:val="multilevel"/>
    <w:tmpl w:val="8658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B1390"/>
    <w:multiLevelType w:val="multilevel"/>
    <w:tmpl w:val="7012F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57201"/>
    <w:multiLevelType w:val="multilevel"/>
    <w:tmpl w:val="9C18B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25EB2"/>
    <w:multiLevelType w:val="multilevel"/>
    <w:tmpl w:val="5DB0B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10E9A"/>
    <w:multiLevelType w:val="multilevel"/>
    <w:tmpl w:val="D4F65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57FE2"/>
    <w:multiLevelType w:val="multilevel"/>
    <w:tmpl w:val="9418E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A2BDD"/>
    <w:multiLevelType w:val="multilevel"/>
    <w:tmpl w:val="E14A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D3693C"/>
    <w:multiLevelType w:val="multilevel"/>
    <w:tmpl w:val="C8609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0C4349"/>
    <w:multiLevelType w:val="multilevel"/>
    <w:tmpl w:val="EF841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614DD"/>
    <w:multiLevelType w:val="multilevel"/>
    <w:tmpl w:val="4C1C2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156CF4"/>
    <w:multiLevelType w:val="multilevel"/>
    <w:tmpl w:val="38AC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924FF"/>
    <w:multiLevelType w:val="multilevel"/>
    <w:tmpl w:val="108C4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0F70C3"/>
    <w:multiLevelType w:val="multilevel"/>
    <w:tmpl w:val="641CF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C3304"/>
    <w:multiLevelType w:val="multilevel"/>
    <w:tmpl w:val="963A9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5333CA"/>
    <w:multiLevelType w:val="multilevel"/>
    <w:tmpl w:val="05BC3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F2927"/>
    <w:multiLevelType w:val="multilevel"/>
    <w:tmpl w:val="D91A4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8D5924"/>
    <w:multiLevelType w:val="multilevel"/>
    <w:tmpl w:val="E43A1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4D2EFE"/>
    <w:multiLevelType w:val="multilevel"/>
    <w:tmpl w:val="03426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33792"/>
    <w:multiLevelType w:val="multilevel"/>
    <w:tmpl w:val="4F54E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CC00A8"/>
    <w:multiLevelType w:val="multilevel"/>
    <w:tmpl w:val="C3BC8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F856CB"/>
    <w:multiLevelType w:val="multilevel"/>
    <w:tmpl w:val="5056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1D1467"/>
    <w:multiLevelType w:val="multilevel"/>
    <w:tmpl w:val="D5A47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6"/>
  </w:num>
  <w:num w:numId="9">
    <w:abstractNumId w:val="21"/>
  </w:num>
  <w:num w:numId="10">
    <w:abstractNumId w:val="6"/>
  </w:num>
  <w:num w:numId="11">
    <w:abstractNumId w:val="0"/>
  </w:num>
  <w:num w:numId="12">
    <w:abstractNumId w:val="18"/>
  </w:num>
  <w:num w:numId="13">
    <w:abstractNumId w:val="7"/>
  </w:num>
  <w:num w:numId="14">
    <w:abstractNumId w:val="19"/>
  </w:num>
  <w:num w:numId="15">
    <w:abstractNumId w:val="17"/>
  </w:num>
  <w:num w:numId="16">
    <w:abstractNumId w:val="15"/>
  </w:num>
  <w:num w:numId="17">
    <w:abstractNumId w:val="12"/>
  </w:num>
  <w:num w:numId="18">
    <w:abstractNumId w:val="2"/>
  </w:num>
  <w:num w:numId="19">
    <w:abstractNumId w:val="14"/>
  </w:num>
  <w:num w:numId="20">
    <w:abstractNumId w:val="1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952DA"/>
    <w:rsid w:val="00256756"/>
    <w:rsid w:val="003933CB"/>
    <w:rsid w:val="004011E8"/>
    <w:rsid w:val="004F7DB2"/>
    <w:rsid w:val="00517773"/>
    <w:rsid w:val="00BC4EEC"/>
    <w:rsid w:val="00DB2A91"/>
    <w:rsid w:val="00E51C79"/>
    <w:rsid w:val="00F315FF"/>
    <w:rsid w:val="00F9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52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5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10672</Words>
  <Characters>60833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2024-11-12T07:19:00Z</dcterms:created>
  <dcterms:modified xsi:type="dcterms:W3CDTF">2024-11-12T07:36:00Z</dcterms:modified>
</cp:coreProperties>
</file>